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4C" w:rsidRPr="00906B3C" w:rsidRDefault="005F134C">
      <w:pPr>
        <w:rPr>
          <w:sz w:val="24"/>
        </w:rPr>
      </w:pPr>
      <w:r w:rsidRPr="00906B3C">
        <w:rPr>
          <w:rFonts w:hint="eastAsia"/>
          <w:sz w:val="24"/>
        </w:rPr>
        <w:t>令和</w:t>
      </w:r>
      <w:r w:rsidRPr="00906B3C">
        <w:rPr>
          <w:rFonts w:hint="eastAsia"/>
          <w:sz w:val="24"/>
        </w:rPr>
        <w:t>4</w:t>
      </w:r>
      <w:r w:rsidRPr="00906B3C">
        <w:rPr>
          <w:rFonts w:hint="eastAsia"/>
          <w:sz w:val="24"/>
        </w:rPr>
        <w:t>年度及び令和</w:t>
      </w:r>
      <w:r w:rsidRPr="00906B3C">
        <w:rPr>
          <w:rFonts w:hint="eastAsia"/>
          <w:sz w:val="24"/>
        </w:rPr>
        <w:t>5</w:t>
      </w:r>
      <w:r w:rsidRPr="00906B3C">
        <w:rPr>
          <w:rFonts w:hint="eastAsia"/>
          <w:sz w:val="24"/>
        </w:rPr>
        <w:t>年度整備着工分「特別養護老人ホーム」</w:t>
      </w:r>
      <w:r w:rsidR="00906B3C">
        <w:rPr>
          <w:rFonts w:hint="eastAsia"/>
          <w:sz w:val="24"/>
        </w:rPr>
        <w:t>施設整備事業者募集に関する質問回答集</w:t>
      </w:r>
    </w:p>
    <w:tbl>
      <w:tblPr>
        <w:tblStyle w:val="a3"/>
        <w:tblpPr w:leftFromText="142" w:rightFromText="142" w:vertAnchor="page" w:horzAnchor="margin" w:tblpY="1207"/>
        <w:tblW w:w="15473" w:type="dxa"/>
        <w:tblLook w:val="04A0" w:firstRow="1" w:lastRow="0" w:firstColumn="1" w:lastColumn="0" w:noHBand="0" w:noVBand="1"/>
      </w:tblPr>
      <w:tblGrid>
        <w:gridCol w:w="576"/>
        <w:gridCol w:w="5382"/>
        <w:gridCol w:w="9515"/>
      </w:tblGrid>
      <w:tr w:rsidR="007C3291" w:rsidRPr="00F821B6" w:rsidTr="007C3291">
        <w:trPr>
          <w:trHeight w:val="416"/>
        </w:trPr>
        <w:tc>
          <w:tcPr>
            <w:tcW w:w="562" w:type="dxa"/>
            <w:shd w:val="clear" w:color="auto" w:fill="FFFFFF" w:themeFill="background1"/>
            <w:vAlign w:val="center"/>
          </w:tcPr>
          <w:p w:rsidR="007C3291" w:rsidRPr="007C3291" w:rsidRDefault="007C3291" w:rsidP="007C3291">
            <w:pPr>
              <w:jc w:val="center"/>
              <w:rPr>
                <w:rFonts w:asciiTheme="minorEastAsia" w:hAnsiTheme="minorEastAsia" w:hint="eastAsia"/>
                <w:sz w:val="24"/>
                <w:szCs w:val="24"/>
              </w:rPr>
            </w:pPr>
            <w:r>
              <w:rPr>
                <w:rFonts w:asciiTheme="minorEastAsia" w:hAnsiTheme="minorEastAsia" w:hint="eastAsia"/>
                <w:sz w:val="24"/>
                <w:szCs w:val="24"/>
              </w:rPr>
              <w:t>No.</w:t>
            </w:r>
          </w:p>
        </w:tc>
        <w:tc>
          <w:tcPr>
            <w:tcW w:w="5387" w:type="dxa"/>
            <w:shd w:val="clear" w:color="auto" w:fill="FFFFFF" w:themeFill="background1"/>
            <w:vAlign w:val="center"/>
          </w:tcPr>
          <w:p w:rsidR="007C3291" w:rsidRPr="00F821B6" w:rsidRDefault="007C3291" w:rsidP="007C3291">
            <w:pPr>
              <w:jc w:val="center"/>
              <w:rPr>
                <w:rFonts w:asciiTheme="minorEastAsia" w:hAnsiTheme="minorEastAsia"/>
                <w:sz w:val="24"/>
                <w:szCs w:val="24"/>
              </w:rPr>
            </w:pPr>
            <w:r w:rsidRPr="00F821B6">
              <w:rPr>
                <w:rFonts w:asciiTheme="minorEastAsia" w:hAnsiTheme="minorEastAsia" w:hint="eastAsia"/>
                <w:sz w:val="24"/>
                <w:szCs w:val="24"/>
              </w:rPr>
              <w:t>質問の要旨</w:t>
            </w:r>
          </w:p>
        </w:tc>
        <w:tc>
          <w:tcPr>
            <w:tcW w:w="9524" w:type="dxa"/>
            <w:shd w:val="clear" w:color="auto" w:fill="FFFFFF" w:themeFill="background1"/>
            <w:vAlign w:val="center"/>
          </w:tcPr>
          <w:p w:rsidR="007C3291" w:rsidRPr="00F821B6" w:rsidRDefault="007C3291" w:rsidP="007C3291">
            <w:pPr>
              <w:jc w:val="center"/>
              <w:rPr>
                <w:rFonts w:asciiTheme="minorEastAsia" w:hAnsiTheme="minorEastAsia"/>
                <w:sz w:val="24"/>
                <w:szCs w:val="24"/>
              </w:rPr>
            </w:pPr>
            <w:r w:rsidRPr="00F821B6">
              <w:rPr>
                <w:rFonts w:asciiTheme="minorEastAsia" w:hAnsiTheme="minorEastAsia" w:hint="eastAsia"/>
                <w:sz w:val="24"/>
                <w:szCs w:val="24"/>
              </w:rPr>
              <w:t>回答</w:t>
            </w:r>
          </w:p>
        </w:tc>
      </w:tr>
      <w:tr w:rsidR="007C3291" w:rsidRPr="00F821B6" w:rsidTr="007C3291">
        <w:trPr>
          <w:trHeight w:val="1121"/>
        </w:trPr>
        <w:tc>
          <w:tcPr>
            <w:tcW w:w="562" w:type="dxa"/>
            <w:shd w:val="clear" w:color="auto" w:fill="FFFFFF" w:themeFill="background1"/>
            <w:vAlign w:val="center"/>
          </w:tcPr>
          <w:p w:rsidR="007C3291" w:rsidRPr="00F821B6" w:rsidRDefault="007C3291" w:rsidP="007C3291">
            <w:pPr>
              <w:jc w:val="center"/>
              <w:rPr>
                <w:rFonts w:asciiTheme="minorEastAsia" w:hAnsiTheme="minorEastAsia" w:hint="eastAsia"/>
                <w:sz w:val="24"/>
                <w:szCs w:val="24"/>
              </w:rPr>
            </w:pPr>
            <w:r>
              <w:rPr>
                <w:rFonts w:asciiTheme="minorEastAsia" w:hAnsiTheme="minorEastAsia" w:hint="eastAsia"/>
                <w:sz w:val="24"/>
                <w:szCs w:val="24"/>
              </w:rPr>
              <w:t>1</w:t>
            </w:r>
          </w:p>
        </w:tc>
        <w:tc>
          <w:tcPr>
            <w:tcW w:w="5387" w:type="dxa"/>
            <w:shd w:val="clear" w:color="auto" w:fill="FFFFFF" w:themeFill="background1"/>
            <w:vAlign w:val="center"/>
          </w:tcPr>
          <w:p w:rsidR="007C3291" w:rsidRPr="00F821B6" w:rsidRDefault="007C3291" w:rsidP="007C3291">
            <w:pPr>
              <w:rPr>
                <w:rFonts w:asciiTheme="minorEastAsia" w:hAnsiTheme="minorEastAsia"/>
                <w:sz w:val="24"/>
                <w:szCs w:val="24"/>
              </w:rPr>
            </w:pPr>
            <w:r w:rsidRPr="00F821B6">
              <w:rPr>
                <w:rFonts w:asciiTheme="minorEastAsia" w:hAnsiTheme="minorEastAsia" w:hint="eastAsia"/>
                <w:sz w:val="24"/>
                <w:szCs w:val="24"/>
              </w:rPr>
              <w:t>同一の整備予定地でユニット型及びプライバシー多床室型へ応募することは可能か。</w:t>
            </w:r>
          </w:p>
        </w:tc>
        <w:tc>
          <w:tcPr>
            <w:tcW w:w="9524" w:type="dxa"/>
            <w:shd w:val="clear" w:color="auto" w:fill="FFFFFF" w:themeFill="background1"/>
            <w:vAlign w:val="center"/>
          </w:tcPr>
          <w:p w:rsidR="007C3291" w:rsidRPr="00F821B6" w:rsidRDefault="007C3291" w:rsidP="007C3291">
            <w:pPr>
              <w:ind w:left="36"/>
              <w:rPr>
                <w:rFonts w:asciiTheme="minorEastAsia" w:hAnsiTheme="minorEastAsia"/>
                <w:sz w:val="24"/>
                <w:szCs w:val="24"/>
              </w:rPr>
            </w:pPr>
            <w:r w:rsidRPr="00F821B6">
              <w:rPr>
                <w:rFonts w:asciiTheme="minorEastAsia" w:hAnsiTheme="minorEastAsia" w:hint="eastAsia"/>
                <w:sz w:val="24"/>
                <w:szCs w:val="24"/>
              </w:rPr>
              <w:t>可能です。ただし、両方に応募した場合であって</w:t>
            </w:r>
            <w:r>
              <w:rPr>
                <w:rFonts w:asciiTheme="minorEastAsia" w:hAnsiTheme="minorEastAsia" w:hint="eastAsia"/>
                <w:sz w:val="24"/>
                <w:szCs w:val="24"/>
              </w:rPr>
              <w:t>、</w:t>
            </w:r>
            <w:r w:rsidRPr="00F821B6">
              <w:rPr>
                <w:rFonts w:asciiTheme="minorEastAsia" w:hAnsiTheme="minorEastAsia" w:hint="eastAsia"/>
                <w:sz w:val="24"/>
                <w:szCs w:val="24"/>
              </w:rPr>
              <w:t>多床室型において採択された場合は、ユニット型への応募は取り消されます。</w:t>
            </w:r>
          </w:p>
        </w:tc>
      </w:tr>
      <w:tr w:rsidR="007C3291" w:rsidRPr="00F821B6" w:rsidTr="007C3291">
        <w:trPr>
          <w:trHeight w:val="1695"/>
        </w:trPr>
        <w:tc>
          <w:tcPr>
            <w:tcW w:w="562" w:type="dxa"/>
            <w:shd w:val="clear" w:color="auto" w:fill="FFFFFF" w:themeFill="background1"/>
            <w:vAlign w:val="center"/>
          </w:tcPr>
          <w:p w:rsidR="007C3291" w:rsidRDefault="007C3291" w:rsidP="007C3291">
            <w:pPr>
              <w:ind w:left="29"/>
              <w:jc w:val="center"/>
              <w:rPr>
                <w:rFonts w:asciiTheme="minorEastAsia" w:hAnsiTheme="minorEastAsia" w:hint="eastAsia"/>
                <w:sz w:val="24"/>
                <w:szCs w:val="24"/>
              </w:rPr>
            </w:pPr>
            <w:r>
              <w:rPr>
                <w:rFonts w:asciiTheme="minorEastAsia" w:hAnsiTheme="minorEastAsia" w:hint="eastAsia"/>
                <w:sz w:val="24"/>
                <w:szCs w:val="24"/>
              </w:rPr>
              <w:t>2</w:t>
            </w:r>
          </w:p>
        </w:tc>
        <w:tc>
          <w:tcPr>
            <w:tcW w:w="5387" w:type="dxa"/>
            <w:shd w:val="clear" w:color="auto" w:fill="FFFFFF" w:themeFill="background1"/>
            <w:vAlign w:val="center"/>
          </w:tcPr>
          <w:p w:rsidR="007C3291" w:rsidRPr="00F821B6" w:rsidRDefault="007C3291" w:rsidP="007C3291">
            <w:pPr>
              <w:ind w:left="29"/>
              <w:rPr>
                <w:rFonts w:asciiTheme="minorEastAsia" w:hAnsiTheme="minorEastAsia"/>
                <w:sz w:val="24"/>
                <w:szCs w:val="24"/>
              </w:rPr>
            </w:pPr>
            <w:r>
              <w:rPr>
                <w:rFonts w:asciiTheme="minorEastAsia" w:hAnsiTheme="minorEastAsia" w:hint="eastAsia"/>
                <w:sz w:val="24"/>
                <w:szCs w:val="24"/>
              </w:rPr>
              <w:t>同一の整備予定地でユニット型とプライバシー多床室型へ応募し、多床室型において採択された場合、多床室型の採択を</w:t>
            </w:r>
            <w:bookmarkStart w:id="0" w:name="_GoBack"/>
            <w:bookmarkEnd w:id="0"/>
            <w:r>
              <w:rPr>
                <w:rFonts w:asciiTheme="minorEastAsia" w:hAnsiTheme="minorEastAsia" w:hint="eastAsia"/>
                <w:sz w:val="24"/>
                <w:szCs w:val="24"/>
              </w:rPr>
              <w:t>辞退してユニット型の選定を受けることはできるか。</w:t>
            </w:r>
          </w:p>
        </w:tc>
        <w:tc>
          <w:tcPr>
            <w:tcW w:w="9524" w:type="dxa"/>
            <w:shd w:val="clear" w:color="auto" w:fill="FFFFFF" w:themeFill="background1"/>
            <w:vAlign w:val="center"/>
          </w:tcPr>
          <w:p w:rsidR="007C3291" w:rsidRPr="00F821B6" w:rsidRDefault="007C3291" w:rsidP="007C3291">
            <w:pPr>
              <w:ind w:leftChars="17" w:left="36"/>
              <w:rPr>
                <w:rFonts w:asciiTheme="minorEastAsia" w:hAnsiTheme="minorEastAsia"/>
                <w:sz w:val="24"/>
                <w:szCs w:val="24"/>
              </w:rPr>
            </w:pPr>
            <w:r>
              <w:rPr>
                <w:rFonts w:asciiTheme="minorEastAsia" w:hAnsiTheme="minorEastAsia" w:hint="eastAsia"/>
                <w:sz w:val="24"/>
                <w:szCs w:val="24"/>
              </w:rPr>
              <w:t>多床室型において採択された時点でユニット型への応募は取り消しとなるため、多床室型の採択を辞退してユニット型の選定を受けることはできません。</w:t>
            </w:r>
          </w:p>
        </w:tc>
      </w:tr>
      <w:tr w:rsidR="007C3291" w:rsidRPr="00F821B6" w:rsidTr="007C3291">
        <w:trPr>
          <w:trHeight w:val="856"/>
        </w:trPr>
        <w:tc>
          <w:tcPr>
            <w:tcW w:w="562" w:type="dxa"/>
            <w:shd w:val="clear" w:color="auto" w:fill="FFFFFF" w:themeFill="background1"/>
            <w:vAlign w:val="center"/>
          </w:tcPr>
          <w:p w:rsidR="007C3291" w:rsidRPr="00F821B6" w:rsidRDefault="007C3291" w:rsidP="007C3291">
            <w:pPr>
              <w:ind w:left="29"/>
              <w:jc w:val="center"/>
              <w:rPr>
                <w:rFonts w:asciiTheme="minorEastAsia" w:hAnsiTheme="minorEastAsia" w:hint="eastAsia"/>
                <w:sz w:val="24"/>
                <w:szCs w:val="24"/>
              </w:rPr>
            </w:pPr>
            <w:r>
              <w:rPr>
                <w:rFonts w:asciiTheme="minorEastAsia" w:hAnsiTheme="minorEastAsia" w:hint="eastAsia"/>
                <w:sz w:val="24"/>
                <w:szCs w:val="24"/>
              </w:rPr>
              <w:t>3</w:t>
            </w:r>
          </w:p>
        </w:tc>
        <w:tc>
          <w:tcPr>
            <w:tcW w:w="5387" w:type="dxa"/>
            <w:shd w:val="clear" w:color="auto" w:fill="FFFFFF" w:themeFill="background1"/>
            <w:vAlign w:val="center"/>
          </w:tcPr>
          <w:p w:rsidR="007C3291" w:rsidRPr="00F821B6" w:rsidRDefault="007C3291" w:rsidP="007C3291">
            <w:pPr>
              <w:ind w:left="29"/>
              <w:rPr>
                <w:rFonts w:asciiTheme="minorEastAsia" w:hAnsiTheme="minorEastAsia"/>
                <w:sz w:val="24"/>
                <w:szCs w:val="24"/>
              </w:rPr>
            </w:pPr>
            <w:r w:rsidRPr="00F821B6">
              <w:rPr>
                <w:rFonts w:asciiTheme="minorEastAsia" w:hAnsiTheme="minorEastAsia" w:hint="eastAsia"/>
                <w:sz w:val="24"/>
                <w:szCs w:val="24"/>
              </w:rPr>
              <w:t>ユニット型において、1</w:t>
            </w:r>
            <w:r>
              <w:rPr>
                <w:rFonts w:asciiTheme="minorEastAsia" w:hAnsiTheme="minorEastAsia" w:hint="eastAsia"/>
                <w:sz w:val="24"/>
                <w:szCs w:val="24"/>
              </w:rPr>
              <w:t>ユニットの入居定員が</w:t>
            </w:r>
            <w:r w:rsidRPr="00F821B6">
              <w:rPr>
                <w:rFonts w:asciiTheme="minorEastAsia" w:hAnsiTheme="minorEastAsia" w:hint="eastAsia"/>
                <w:sz w:val="24"/>
                <w:szCs w:val="24"/>
              </w:rPr>
              <w:t>10</w:t>
            </w:r>
            <w:r>
              <w:rPr>
                <w:rFonts w:asciiTheme="minorEastAsia" w:hAnsiTheme="minorEastAsia" w:hint="eastAsia"/>
                <w:sz w:val="24"/>
                <w:szCs w:val="24"/>
              </w:rPr>
              <w:t>を超える</w:t>
            </w:r>
            <w:r w:rsidRPr="00F821B6">
              <w:rPr>
                <w:rFonts w:asciiTheme="minorEastAsia" w:hAnsiTheme="minorEastAsia" w:hint="eastAsia"/>
                <w:sz w:val="24"/>
                <w:szCs w:val="24"/>
              </w:rPr>
              <w:t>場合に配置が必要となる</w:t>
            </w:r>
            <w:r>
              <w:rPr>
                <w:rFonts w:asciiTheme="minorEastAsia" w:hAnsiTheme="minorEastAsia" w:hint="eastAsia"/>
                <w:sz w:val="24"/>
                <w:szCs w:val="24"/>
              </w:rPr>
              <w:t>、</w:t>
            </w:r>
            <w:r w:rsidRPr="00F821B6">
              <w:rPr>
                <w:rFonts w:asciiTheme="minorEastAsia" w:hAnsiTheme="minorEastAsia" w:hint="eastAsia"/>
                <w:sz w:val="24"/>
                <w:szCs w:val="24"/>
              </w:rPr>
              <w:t>入居定員に応じた</w:t>
            </w:r>
            <w:r>
              <w:rPr>
                <w:rFonts w:asciiTheme="minorEastAsia" w:hAnsiTheme="minorEastAsia" w:hint="eastAsia"/>
                <w:sz w:val="24"/>
                <w:szCs w:val="24"/>
              </w:rPr>
              <w:t>介護にあたる職員の</w:t>
            </w:r>
            <w:r w:rsidRPr="00F821B6">
              <w:rPr>
                <w:rFonts w:asciiTheme="minorEastAsia" w:hAnsiTheme="minorEastAsia" w:hint="eastAsia"/>
                <w:sz w:val="24"/>
                <w:szCs w:val="24"/>
              </w:rPr>
              <w:t>人数とは。</w:t>
            </w:r>
          </w:p>
        </w:tc>
        <w:tc>
          <w:tcPr>
            <w:tcW w:w="9524" w:type="dxa"/>
            <w:shd w:val="clear" w:color="auto" w:fill="FFFFFF" w:themeFill="background1"/>
            <w:vAlign w:val="center"/>
          </w:tcPr>
          <w:p w:rsidR="007C3291" w:rsidRPr="00F821B6" w:rsidRDefault="007C3291" w:rsidP="007C3291">
            <w:pPr>
              <w:ind w:left="220"/>
              <w:rPr>
                <w:rFonts w:asciiTheme="minorEastAsia" w:hAnsiTheme="minorEastAsia"/>
                <w:sz w:val="24"/>
                <w:szCs w:val="24"/>
              </w:rPr>
            </w:pPr>
            <w:r w:rsidRPr="00F821B6">
              <w:rPr>
                <w:rFonts w:asciiTheme="minorEastAsia" w:hAnsiTheme="minorEastAsia" w:hint="eastAsia"/>
                <w:sz w:val="24"/>
                <w:szCs w:val="24"/>
              </w:rPr>
              <w:t>①日勤時間帯の介護職員及び看護職員の配置</w:t>
            </w:r>
          </w:p>
          <w:p w:rsidR="007C3291" w:rsidRDefault="007C3291" w:rsidP="007C3291">
            <w:pPr>
              <w:ind w:left="38"/>
              <w:rPr>
                <w:rFonts w:asciiTheme="minorEastAsia" w:hAnsiTheme="minorEastAsia"/>
                <w:sz w:val="24"/>
                <w:szCs w:val="24"/>
              </w:rPr>
            </w:pPr>
            <w:r w:rsidRPr="00F821B6">
              <w:rPr>
                <w:rFonts w:asciiTheme="minorEastAsia" w:hAnsiTheme="minorEastAsia" w:hint="eastAsia"/>
                <w:sz w:val="24"/>
                <w:szCs w:val="24"/>
              </w:rPr>
              <w:t xml:space="preserve">　ユニットごとに常時1人の配置に加えて、当該ユニットにおいて日勤時間帯に勤務する別の従業者の1日の勤務時間の合計を8で除した数が、入居者の数が10を超えて1を増すごとに0.1以上となるように配置。</w:t>
            </w:r>
          </w:p>
          <w:p w:rsidR="007C3291" w:rsidRDefault="007C3291" w:rsidP="007C3291">
            <w:pPr>
              <w:ind w:left="38"/>
              <w:rPr>
                <w:rFonts w:asciiTheme="minorEastAsia" w:hAnsiTheme="minorEastAsia"/>
                <w:sz w:val="24"/>
                <w:szCs w:val="24"/>
              </w:rPr>
            </w:pPr>
            <w:r>
              <w:rPr>
                <w:rFonts w:asciiTheme="minorEastAsia" w:hAnsiTheme="minorEastAsia" w:hint="eastAsia"/>
                <w:sz w:val="24"/>
                <w:szCs w:val="24"/>
              </w:rPr>
              <w:t>（例）1ユニットの入居定員が12人の場合</w:t>
            </w:r>
          </w:p>
          <w:p w:rsidR="007C3291" w:rsidRDefault="007C3291" w:rsidP="007C3291">
            <w:pPr>
              <w:ind w:left="38"/>
              <w:rPr>
                <w:rFonts w:asciiTheme="minorEastAsia" w:hAnsiTheme="minorEastAsia"/>
                <w:sz w:val="24"/>
                <w:szCs w:val="24"/>
              </w:rPr>
            </w:pPr>
            <w:r w:rsidRPr="00F821B6">
              <w:rPr>
                <w:rFonts w:asciiTheme="minorEastAsia" w:hAnsiTheme="minorEastAsia" w:hint="eastAsia"/>
                <w:sz w:val="24"/>
                <w:szCs w:val="24"/>
              </w:rPr>
              <w:t>ユニットごとに</w:t>
            </w:r>
            <w:r>
              <w:rPr>
                <w:rFonts w:asciiTheme="minorEastAsia" w:hAnsiTheme="minorEastAsia" w:hint="eastAsia"/>
                <w:sz w:val="24"/>
                <w:szCs w:val="24"/>
              </w:rPr>
              <w:t>常時１人の配置に加え、</w:t>
            </w:r>
            <w:r w:rsidRPr="00F821B6">
              <w:rPr>
                <w:rFonts w:asciiTheme="minorEastAsia" w:hAnsiTheme="minorEastAsia" w:hint="eastAsia"/>
                <w:sz w:val="24"/>
                <w:szCs w:val="24"/>
              </w:rPr>
              <w:t>当該ユニットにおいて</w:t>
            </w:r>
            <w:r>
              <w:rPr>
                <w:rFonts w:asciiTheme="minorEastAsia" w:hAnsiTheme="minorEastAsia" w:hint="eastAsia"/>
                <w:sz w:val="24"/>
                <w:szCs w:val="24"/>
              </w:rPr>
              <w:t>勤務する別の従業者の勤務時間が1.6時間以上となるよう配置。</w:t>
            </w:r>
          </w:p>
          <w:p w:rsidR="007C3291" w:rsidRPr="00F821B6" w:rsidRDefault="007C3291" w:rsidP="007C3291">
            <w:pPr>
              <w:ind w:left="38"/>
              <w:rPr>
                <w:rFonts w:asciiTheme="minorEastAsia" w:hAnsiTheme="minorEastAsia"/>
                <w:sz w:val="24"/>
                <w:szCs w:val="24"/>
              </w:rPr>
            </w:pPr>
          </w:p>
          <w:p w:rsidR="007C3291" w:rsidRPr="00F821B6" w:rsidRDefault="007C3291" w:rsidP="007C3291">
            <w:pPr>
              <w:ind w:left="220"/>
              <w:rPr>
                <w:rFonts w:asciiTheme="minorEastAsia" w:hAnsiTheme="minorEastAsia"/>
                <w:sz w:val="24"/>
                <w:szCs w:val="24"/>
              </w:rPr>
            </w:pPr>
            <w:r w:rsidRPr="00F821B6">
              <w:rPr>
                <w:rFonts w:asciiTheme="minorEastAsia" w:hAnsiTheme="minorEastAsia" w:hint="eastAsia"/>
                <w:sz w:val="24"/>
                <w:szCs w:val="24"/>
              </w:rPr>
              <w:t>②夜勤時間帯の介護職員及び看護職員の配置</w:t>
            </w:r>
          </w:p>
          <w:p w:rsidR="007C3291" w:rsidRDefault="007C3291" w:rsidP="007C3291">
            <w:pPr>
              <w:ind w:left="38"/>
              <w:rPr>
                <w:rFonts w:asciiTheme="minorEastAsia" w:hAnsiTheme="minorEastAsia"/>
                <w:sz w:val="24"/>
                <w:szCs w:val="24"/>
              </w:rPr>
            </w:pPr>
            <w:r w:rsidRPr="00F821B6">
              <w:rPr>
                <w:rFonts w:asciiTheme="minorEastAsia" w:hAnsiTheme="minorEastAsia" w:hint="eastAsia"/>
                <w:sz w:val="24"/>
                <w:szCs w:val="24"/>
              </w:rPr>
              <w:t xml:space="preserve">　2ユニットごとに常時1人の配置に加えて、当該2ユニットにおいて夜勤時間帯に勤務する別の従業者の1日の勤務時間の合計を16で除した数が、入居者の数が20を超えて2又はその端数を増すごとに0.1以上となるように配置。</w:t>
            </w:r>
          </w:p>
          <w:p w:rsidR="007C3291" w:rsidRDefault="007C3291" w:rsidP="007C3291">
            <w:pPr>
              <w:ind w:left="38"/>
              <w:rPr>
                <w:rFonts w:asciiTheme="minorEastAsia" w:hAnsiTheme="minorEastAsia"/>
                <w:sz w:val="24"/>
                <w:szCs w:val="24"/>
              </w:rPr>
            </w:pPr>
            <w:r>
              <w:rPr>
                <w:rFonts w:asciiTheme="minorEastAsia" w:hAnsiTheme="minorEastAsia" w:hint="eastAsia"/>
                <w:sz w:val="24"/>
                <w:szCs w:val="24"/>
              </w:rPr>
              <w:t>（例）1ユニットの入居定員が12人の場合</w:t>
            </w:r>
          </w:p>
          <w:p w:rsidR="007C3291" w:rsidRPr="007D68FD" w:rsidRDefault="007C3291" w:rsidP="007C3291">
            <w:pPr>
              <w:ind w:left="38"/>
              <w:rPr>
                <w:rFonts w:asciiTheme="minorEastAsia" w:hAnsiTheme="minorEastAsia"/>
                <w:sz w:val="24"/>
                <w:szCs w:val="24"/>
              </w:rPr>
            </w:pPr>
            <w:r>
              <w:rPr>
                <w:rFonts w:asciiTheme="minorEastAsia" w:hAnsiTheme="minorEastAsia" w:hint="eastAsia"/>
                <w:sz w:val="24"/>
                <w:szCs w:val="24"/>
              </w:rPr>
              <w:t>2</w:t>
            </w:r>
            <w:r w:rsidRPr="00F821B6">
              <w:rPr>
                <w:rFonts w:asciiTheme="minorEastAsia" w:hAnsiTheme="minorEastAsia" w:hint="eastAsia"/>
                <w:sz w:val="24"/>
                <w:szCs w:val="24"/>
              </w:rPr>
              <w:t>ユニットごとに</w:t>
            </w:r>
            <w:r>
              <w:rPr>
                <w:rFonts w:asciiTheme="minorEastAsia" w:hAnsiTheme="minorEastAsia" w:hint="eastAsia"/>
                <w:sz w:val="24"/>
                <w:szCs w:val="24"/>
              </w:rPr>
              <w:t>常時１人の配置に加え、</w:t>
            </w:r>
            <w:r w:rsidRPr="00F821B6">
              <w:rPr>
                <w:rFonts w:asciiTheme="minorEastAsia" w:hAnsiTheme="minorEastAsia" w:hint="eastAsia"/>
                <w:sz w:val="24"/>
                <w:szCs w:val="24"/>
              </w:rPr>
              <w:t>当該</w:t>
            </w:r>
            <w:r>
              <w:rPr>
                <w:rFonts w:asciiTheme="minorEastAsia" w:hAnsiTheme="minorEastAsia" w:hint="eastAsia"/>
                <w:sz w:val="24"/>
                <w:szCs w:val="24"/>
              </w:rPr>
              <w:t>2</w:t>
            </w:r>
            <w:r w:rsidRPr="00F821B6">
              <w:rPr>
                <w:rFonts w:asciiTheme="minorEastAsia" w:hAnsiTheme="minorEastAsia" w:hint="eastAsia"/>
                <w:sz w:val="24"/>
                <w:szCs w:val="24"/>
              </w:rPr>
              <w:t>ユニットにおいて</w:t>
            </w:r>
            <w:r>
              <w:rPr>
                <w:rFonts w:asciiTheme="minorEastAsia" w:hAnsiTheme="minorEastAsia" w:hint="eastAsia"/>
                <w:sz w:val="24"/>
                <w:szCs w:val="24"/>
              </w:rPr>
              <w:t>勤務する別の従業者の勤務時間が3.2時間以上となるよう配置。</w:t>
            </w:r>
          </w:p>
        </w:tc>
      </w:tr>
    </w:tbl>
    <w:p w:rsidR="005F134C" w:rsidRDefault="005F134C"/>
    <w:p w:rsidR="00B10DC8" w:rsidRPr="00F821B6" w:rsidRDefault="00B10DC8" w:rsidP="005772B6">
      <w:pPr>
        <w:rPr>
          <w:rFonts w:asciiTheme="minorEastAsia" w:hAnsiTheme="minorEastAsia"/>
          <w:sz w:val="24"/>
          <w:szCs w:val="24"/>
        </w:rPr>
      </w:pPr>
    </w:p>
    <w:sectPr w:rsidR="00B10DC8" w:rsidRPr="00F821B6" w:rsidSect="007C329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0A" w:rsidRDefault="00980C0A" w:rsidP="00980C0A">
      <w:r>
        <w:separator/>
      </w:r>
    </w:p>
  </w:endnote>
  <w:endnote w:type="continuationSeparator" w:id="0">
    <w:p w:rsidR="00980C0A" w:rsidRDefault="00980C0A" w:rsidP="0098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0A" w:rsidRDefault="00980C0A" w:rsidP="00980C0A">
      <w:r>
        <w:separator/>
      </w:r>
    </w:p>
  </w:footnote>
  <w:footnote w:type="continuationSeparator" w:id="0">
    <w:p w:rsidR="00980C0A" w:rsidRDefault="00980C0A" w:rsidP="00980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8A"/>
    <w:rsid w:val="000B498A"/>
    <w:rsid w:val="000E7832"/>
    <w:rsid w:val="001031E3"/>
    <w:rsid w:val="0010684E"/>
    <w:rsid w:val="00145845"/>
    <w:rsid w:val="00227A64"/>
    <w:rsid w:val="00246AF4"/>
    <w:rsid w:val="00282BB2"/>
    <w:rsid w:val="002D1C0F"/>
    <w:rsid w:val="002E7444"/>
    <w:rsid w:val="002F57D4"/>
    <w:rsid w:val="00316791"/>
    <w:rsid w:val="0032029C"/>
    <w:rsid w:val="003545D8"/>
    <w:rsid w:val="00364D21"/>
    <w:rsid w:val="003955B7"/>
    <w:rsid w:val="003F4411"/>
    <w:rsid w:val="00440EAB"/>
    <w:rsid w:val="00440F8A"/>
    <w:rsid w:val="004A2313"/>
    <w:rsid w:val="005075A1"/>
    <w:rsid w:val="005272AF"/>
    <w:rsid w:val="00531F44"/>
    <w:rsid w:val="00576B98"/>
    <w:rsid w:val="005772B6"/>
    <w:rsid w:val="005B0EF5"/>
    <w:rsid w:val="005F134C"/>
    <w:rsid w:val="006218CD"/>
    <w:rsid w:val="006275B0"/>
    <w:rsid w:val="00723EBA"/>
    <w:rsid w:val="00732A63"/>
    <w:rsid w:val="00766622"/>
    <w:rsid w:val="007C3291"/>
    <w:rsid w:val="007D68FD"/>
    <w:rsid w:val="007E0329"/>
    <w:rsid w:val="007E7B37"/>
    <w:rsid w:val="0085632C"/>
    <w:rsid w:val="008C4294"/>
    <w:rsid w:val="008E341B"/>
    <w:rsid w:val="008F48B5"/>
    <w:rsid w:val="00906B3C"/>
    <w:rsid w:val="009116A7"/>
    <w:rsid w:val="00980C0A"/>
    <w:rsid w:val="009B3BCB"/>
    <w:rsid w:val="00A00E75"/>
    <w:rsid w:val="00A856E6"/>
    <w:rsid w:val="00AA0841"/>
    <w:rsid w:val="00B10DC8"/>
    <w:rsid w:val="00B17A1F"/>
    <w:rsid w:val="00BF1538"/>
    <w:rsid w:val="00C05822"/>
    <w:rsid w:val="00C06957"/>
    <w:rsid w:val="00C654AD"/>
    <w:rsid w:val="00C6699E"/>
    <w:rsid w:val="00C72718"/>
    <w:rsid w:val="00D01C45"/>
    <w:rsid w:val="00D0639A"/>
    <w:rsid w:val="00D905B9"/>
    <w:rsid w:val="00DC6CE3"/>
    <w:rsid w:val="00DD0D32"/>
    <w:rsid w:val="00E00A61"/>
    <w:rsid w:val="00E31F79"/>
    <w:rsid w:val="00E507FF"/>
    <w:rsid w:val="00E94730"/>
    <w:rsid w:val="00EA2D4F"/>
    <w:rsid w:val="00F02658"/>
    <w:rsid w:val="00F2713F"/>
    <w:rsid w:val="00F6396D"/>
    <w:rsid w:val="00F815EE"/>
    <w:rsid w:val="00F821B6"/>
    <w:rsid w:val="00FB4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77B73F"/>
  <w15:chartTrackingRefBased/>
  <w15:docId w15:val="{4CFD1EBC-7215-4E04-8762-BFBFF959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2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47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7CD"/>
    <w:rPr>
      <w:rFonts w:asciiTheme="majorHAnsi" w:eastAsiaTheme="majorEastAsia" w:hAnsiTheme="majorHAnsi" w:cstheme="majorBidi"/>
      <w:sz w:val="18"/>
      <w:szCs w:val="18"/>
    </w:rPr>
  </w:style>
  <w:style w:type="paragraph" w:customStyle="1" w:styleId="Default">
    <w:name w:val="Default"/>
    <w:rsid w:val="00531F44"/>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980C0A"/>
    <w:pPr>
      <w:tabs>
        <w:tab w:val="center" w:pos="4252"/>
        <w:tab w:val="right" w:pos="8504"/>
      </w:tabs>
      <w:snapToGrid w:val="0"/>
    </w:pPr>
  </w:style>
  <w:style w:type="character" w:customStyle="1" w:styleId="a7">
    <w:name w:val="ヘッダー (文字)"/>
    <w:basedOn w:val="a0"/>
    <w:link w:val="a6"/>
    <w:uiPriority w:val="99"/>
    <w:rsid w:val="00980C0A"/>
  </w:style>
  <w:style w:type="paragraph" w:styleId="a8">
    <w:name w:val="footer"/>
    <w:basedOn w:val="a"/>
    <w:link w:val="a9"/>
    <w:uiPriority w:val="99"/>
    <w:unhideWhenUsed/>
    <w:rsid w:val="00980C0A"/>
    <w:pPr>
      <w:tabs>
        <w:tab w:val="center" w:pos="4252"/>
        <w:tab w:val="right" w:pos="8504"/>
      </w:tabs>
      <w:snapToGrid w:val="0"/>
    </w:pPr>
  </w:style>
  <w:style w:type="character" w:customStyle="1" w:styleId="a9">
    <w:name w:val="フッター (文字)"/>
    <w:basedOn w:val="a0"/>
    <w:link w:val="a8"/>
    <w:uiPriority w:val="99"/>
    <w:rsid w:val="0098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名古屋市総務局</cp:lastModifiedBy>
  <cp:revision>36</cp:revision>
  <cp:lastPrinted>2022-02-07T08:33:00Z</cp:lastPrinted>
  <dcterms:created xsi:type="dcterms:W3CDTF">2018-05-07T01:28:00Z</dcterms:created>
  <dcterms:modified xsi:type="dcterms:W3CDTF">2022-02-07T08:36:00Z</dcterms:modified>
</cp:coreProperties>
</file>